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r>
        <w:object w:dxaOrig="3381" w:dyaOrig="1882">
          <v:rect xmlns:o="urn:schemas-microsoft-com:office:office" xmlns:v="urn:schemas-microsoft-com:vml" id="rectole0000000000" style="width:169.050000pt;height:94.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uppressAutoHyphens w:val="true"/>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Datum objave natje</w:t>
      </w:r>
      <w:r>
        <w:rPr>
          <w:rFonts w:ascii="Arial" w:hAnsi="Arial" w:cs="Arial" w:eastAsia="Arial"/>
          <w:color w:val="auto"/>
          <w:spacing w:val="0"/>
          <w:position w:val="0"/>
          <w:sz w:val="24"/>
          <w:shd w:fill="auto" w:val="clear"/>
        </w:rPr>
        <w:t xml:space="preserve">čaja: 16.05.2025. godine</w:t>
      </w:r>
    </w:p>
    <w:p>
      <w:pPr>
        <w:suppressAutoHyphens w:val="true"/>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Rok za dostavu prijava: 25.05.202</w:t>
      </w:r>
      <w:r>
        <w:rPr>
          <w:rFonts w:ascii="Arial" w:hAnsi="Arial" w:cs="Arial" w:eastAsia="Arial"/>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godine</w:t>
      </w:r>
    </w:p>
    <w:p>
      <w:pPr>
        <w:suppressAutoHyphens w:val="true"/>
        <w:spacing w:before="0" w:after="200" w:line="276"/>
        <w:ind w:right="0" w:left="0" w:firstLine="0"/>
        <w:jc w:val="center"/>
        <w:rPr>
          <w:rFonts w:ascii="Arial" w:hAnsi="Arial" w:cs="Arial" w:eastAsia="Arial"/>
          <w:color w:val="auto"/>
          <w:spacing w:val="0"/>
          <w:position w:val="0"/>
          <w:sz w:val="24"/>
          <w:shd w:fill="auto" w:val="clear"/>
        </w:rPr>
      </w:pPr>
    </w:p>
    <w:p>
      <w:pPr>
        <w:suppressAutoHyphens w:val="true"/>
        <w:spacing w:before="0" w:after="200" w:line="276"/>
        <w:ind w:right="0" w:left="0" w:firstLine="0"/>
        <w:jc w:val="center"/>
        <w:rPr>
          <w:rFonts w:ascii="Calibri" w:hAnsi="Calibri" w:cs="Calibri" w:eastAsia="Calibri"/>
          <w:color w:val="auto"/>
          <w:spacing w:val="0"/>
          <w:position w:val="0"/>
          <w:sz w:val="22"/>
          <w:shd w:fill="auto" w:val="clear"/>
        </w:rPr>
      </w:pPr>
    </w:p>
    <w:p>
      <w:pPr>
        <w:suppressAutoHyphens w:val="true"/>
        <w:spacing w:before="0" w:after="0" w:line="240"/>
        <w:ind w:right="0" w:left="0" w:firstLine="0"/>
        <w:jc w:val="center"/>
        <w:rPr>
          <w:rFonts w:ascii="Calibri" w:hAnsi="Calibri" w:cs="Calibri" w:eastAsia="Calibri"/>
          <w:b/>
          <w:color w:val="auto"/>
          <w:spacing w:val="0"/>
          <w:position w:val="0"/>
          <w:sz w:val="32"/>
          <w:shd w:fill="auto" w:val="clear"/>
        </w:rPr>
      </w:pPr>
    </w:p>
    <w:p>
      <w:pPr>
        <w:suppressAutoHyphens w:val="true"/>
        <w:spacing w:before="0" w:after="200" w:line="276"/>
        <w:ind w:right="0" w:left="0" w:firstLine="0"/>
        <w:jc w:val="center"/>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Iskaz interesa za sudjelovanje u Programu aktivnosti Dnevni boravak na Kupi za 2025. godinu</w:t>
      </w:r>
    </w:p>
    <w:p>
      <w:pPr>
        <w:suppressAutoHyphens w:val="true"/>
        <w:spacing w:before="120" w:after="120" w:line="240"/>
        <w:ind w:right="0" w:left="0" w:firstLine="0"/>
        <w:jc w:val="center"/>
        <w:rPr>
          <w:rFonts w:ascii="Calibri" w:hAnsi="Calibri" w:cs="Calibri" w:eastAsia="Calibri"/>
          <w:b/>
          <w:color w:val="auto"/>
          <w:spacing w:val="0"/>
          <w:position w:val="0"/>
          <w:sz w:val="22"/>
          <w:shd w:fill="auto" w:val="clear"/>
        </w:rPr>
      </w:pPr>
    </w:p>
    <w:p>
      <w:pPr>
        <w:suppressAutoHyphens w:val="true"/>
        <w:spacing w:before="0" w:after="240" w:line="240"/>
        <w:ind w:right="0" w:left="0" w:firstLine="0"/>
        <w:jc w:val="center"/>
        <w:rPr>
          <w:rFonts w:ascii="Calibri" w:hAnsi="Calibri" w:cs="Calibri" w:eastAsia="Calibri"/>
          <w:color w:val="auto"/>
          <w:spacing w:val="0"/>
          <w:position w:val="0"/>
          <w:sz w:val="32"/>
          <w:shd w:fill="auto" w:val="clear"/>
        </w:rPr>
      </w:pPr>
    </w:p>
    <w:p>
      <w:pPr>
        <w:suppressAutoHyphens w:val="true"/>
        <w:spacing w:before="0" w:after="200" w:line="276"/>
        <w:ind w:right="0" w:left="0" w:firstLine="0"/>
        <w:jc w:val="center"/>
        <w:rPr>
          <w:rFonts w:ascii="Calibri" w:hAnsi="Calibri" w:cs="Calibri" w:eastAsia="Calibri"/>
          <w:b/>
          <w:color w:val="auto"/>
          <w:spacing w:val="0"/>
          <w:position w:val="0"/>
          <w:sz w:val="22"/>
          <w:shd w:fill="auto" w:val="clear"/>
        </w:rPr>
      </w:pPr>
    </w:p>
    <w:p>
      <w:pPr>
        <w:suppressAutoHyphens w:val="true"/>
        <w:spacing w:before="0" w:after="200" w:line="276"/>
        <w:ind w:right="0" w:left="0" w:firstLine="0"/>
        <w:jc w:val="center"/>
        <w:rPr>
          <w:rFonts w:ascii="Calibri" w:hAnsi="Calibri" w:cs="Calibri" w:eastAsia="Calibri"/>
          <w:b/>
          <w:color w:val="auto"/>
          <w:spacing w:val="0"/>
          <w:position w:val="0"/>
          <w:sz w:val="22"/>
          <w:shd w:fill="auto" w:val="clear"/>
        </w:rPr>
      </w:pPr>
    </w:p>
    <w:p>
      <w:pPr>
        <w:keepNext w:val="true"/>
        <w:keepLines w:val="true"/>
        <w:pageBreakBefore w:val="true"/>
        <w:numPr>
          <w:ilvl w:val="0"/>
          <w:numId w:val="9"/>
        </w:numPr>
        <w:tabs>
          <w:tab w:val="left" w:pos="0" w:leader="none"/>
        </w:tabs>
        <w:suppressAutoHyphens w:val="true"/>
        <w:spacing w:before="480" w:after="0" w:line="276"/>
        <w:ind w:right="0" w:left="432" w:hanging="432"/>
        <w:jc w:val="both"/>
        <w:rPr>
          <w:rFonts w:ascii="Cambria" w:hAnsi="Cambria" w:cs="Cambria" w:eastAsia="Cambria"/>
          <w:b/>
          <w:color w:val="365F91"/>
          <w:spacing w:val="0"/>
          <w:position w:val="0"/>
          <w:sz w:val="28"/>
          <w:shd w:fill="auto" w:val="clear"/>
        </w:rPr>
      </w:pPr>
      <w:r>
        <w:rPr>
          <w:rFonts w:ascii="Cambria" w:hAnsi="Cambria" w:cs="Cambria" w:eastAsia="Cambria"/>
          <w:b/>
          <w:color w:val="365F91"/>
          <w:spacing w:val="0"/>
          <w:position w:val="0"/>
          <w:sz w:val="28"/>
          <w:shd w:fill="auto" w:val="clear"/>
        </w:rPr>
        <w:t xml:space="preserve">Iskaz interesa za sudjelovanje u programu Dnevni boravak na Kupi za 2025. godinu</w:t>
      </w:r>
    </w:p>
    <w:p>
      <w:pPr>
        <w:keepNext w:val="true"/>
        <w:keepLines w:val="true"/>
        <w:tabs>
          <w:tab w:val="left" w:pos="0" w:leader="none"/>
        </w:tabs>
        <w:suppressAutoHyphens w:val="true"/>
        <w:spacing w:before="240" w:after="240" w:line="276"/>
        <w:ind w:right="0" w:left="0" w:firstLine="0"/>
        <w:jc w:val="both"/>
        <w:rPr>
          <w:rFonts w:ascii="Calibri" w:hAnsi="Calibri" w:cs="Calibri" w:eastAsia="Calibri"/>
          <w:b/>
          <w:color w:val="4F81BD"/>
          <w:spacing w:val="0"/>
          <w:position w:val="0"/>
          <w:sz w:val="22"/>
          <w:shd w:fill="auto" w:val="clear"/>
        </w:rPr>
      </w:pPr>
      <w:r>
        <w:rPr>
          <w:rFonts w:ascii="Calibri" w:hAnsi="Calibri" w:cs="Calibri" w:eastAsia="Calibri"/>
          <w:color w:val="auto"/>
          <w:spacing w:val="0"/>
          <w:position w:val="0"/>
          <w:sz w:val="22"/>
          <w:shd w:fill="auto" w:val="clear"/>
        </w:rPr>
        <w:tab/>
        <w:t xml:space="preserve">Dnevni boravak na Kupi 2025. je program u organizaciji Izvan fokusa d.o.o., Grada Ozlja i Turisti</w:t>
      </w:r>
      <w:r>
        <w:rPr>
          <w:rFonts w:ascii="Calibri" w:hAnsi="Calibri" w:cs="Calibri" w:eastAsia="Calibri"/>
          <w:color w:val="auto"/>
          <w:spacing w:val="0"/>
          <w:position w:val="0"/>
          <w:sz w:val="22"/>
          <w:shd w:fill="auto" w:val="clear"/>
        </w:rPr>
        <w:t xml:space="preserve">čke zajednice područja Kupa koji se realizira na Gradskom kupalištu Slave Raškaj u Ozlju s ciljem vraćanja kupača na rijeku Kupu i organiziranja kvalitetnog provođenja slobodnog vremena za djecu, mlade i odrasle. Osim toga cilj Dnevnog boravka na Kupi jest doprinijeti turističkoj infrastrukturi, kupališnom turizmu i općenito turističkim aktivnostima vezanima za rijeke te razvoju poduzetništva</w:t>
      </w:r>
    </w:p>
    <w:p>
      <w:pPr>
        <w:keepNext w:val="true"/>
        <w:keepLines w:val="true"/>
        <w:numPr>
          <w:ilvl w:val="0"/>
          <w:numId w:val="11"/>
        </w:numPr>
        <w:tabs>
          <w:tab w:val="left" w:pos="0" w:leader="none"/>
        </w:tabs>
        <w:suppressAutoHyphens w:val="true"/>
        <w:spacing w:before="240" w:after="240" w:line="276"/>
        <w:ind w:right="0" w:left="576" w:hanging="576"/>
        <w:jc w:val="both"/>
        <w:rPr>
          <w:rFonts w:ascii="Calibri" w:hAnsi="Calibri" w:cs="Calibri" w:eastAsia="Calibri"/>
          <w:b/>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Ciljevi, prioriteti i prihvatljive aktivnosti za dodjelu sredstava</w:t>
      </w: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Prioriteti za dodjelu sredstava:</w:t>
      </w:r>
    </w:p>
    <w:p>
      <w:pPr>
        <w:numPr>
          <w:ilvl w:val="0"/>
          <w:numId w:val="13"/>
        </w:numPr>
        <w:tabs>
          <w:tab w:val="left" w:pos="0" w:leader="none"/>
        </w:tabs>
        <w:suppressAutoHyphens w:val="true"/>
        <w:spacing w:before="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Projekti koji se provode na Gradskom kupali</w:t>
      </w:r>
      <w:r>
        <w:rPr>
          <w:rFonts w:ascii="Calibri" w:hAnsi="Calibri" w:cs="Calibri" w:eastAsia="Calibri"/>
          <w:color w:val="auto"/>
          <w:spacing w:val="0"/>
          <w:position w:val="0"/>
          <w:sz w:val="22"/>
          <w:shd w:fill="auto" w:val="clear"/>
        </w:rPr>
        <w:t xml:space="preserve">štu Slave Raškaj počevši od 06.lipnja 2025. godine</w:t>
      </w:r>
    </w:p>
    <w:p>
      <w:pPr>
        <w:numPr>
          <w:ilvl w:val="0"/>
          <w:numId w:val="13"/>
        </w:numPr>
        <w:tabs>
          <w:tab w:val="left" w:pos="0" w:leader="none"/>
        </w:tabs>
        <w:suppressAutoHyphens w:val="true"/>
        <w:spacing w:before="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Projekti koji su zabavnog, sportskog i edukativnog karaktera</w:t>
      </w:r>
    </w:p>
    <w:p>
      <w:pPr>
        <w:numPr>
          <w:ilvl w:val="0"/>
          <w:numId w:val="13"/>
        </w:numPr>
        <w:tabs>
          <w:tab w:val="left" w:pos="0" w:leader="none"/>
        </w:tabs>
        <w:suppressAutoHyphens w:val="true"/>
        <w:spacing w:before="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Projekti usmjereni prema mladim osobama</w:t>
      </w:r>
    </w:p>
    <w:p>
      <w:pPr>
        <w:numPr>
          <w:ilvl w:val="0"/>
          <w:numId w:val="13"/>
        </w:numPr>
        <w:tabs>
          <w:tab w:val="left" w:pos="0" w:leader="none"/>
        </w:tabs>
        <w:suppressAutoHyphens w:val="true"/>
        <w:spacing w:before="0" w:after="200" w:line="276"/>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Projekti kojima se osigurava animacija kupa</w:t>
      </w:r>
      <w:r>
        <w:rPr>
          <w:rFonts w:ascii="Calibri" w:hAnsi="Calibri" w:cs="Calibri" w:eastAsia="Calibri"/>
          <w:color w:val="auto"/>
          <w:spacing w:val="0"/>
          <w:position w:val="0"/>
          <w:sz w:val="22"/>
          <w:shd w:fill="auto" w:val="clear"/>
        </w:rPr>
        <w:t xml:space="preserve">ča u vodi</w:t>
      </w:r>
    </w:p>
    <w:p>
      <w:pPr>
        <w:numPr>
          <w:ilvl w:val="0"/>
          <w:numId w:val="13"/>
        </w:numPr>
        <w:tabs>
          <w:tab w:val="left" w:pos="0" w:leader="none"/>
        </w:tabs>
        <w:suppressAutoHyphens w:val="true"/>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Sportske i rekreativne aktivnosti primjerene populaciji kupa</w:t>
      </w:r>
      <w:r>
        <w:rPr>
          <w:rFonts w:ascii="Calibri" w:hAnsi="Calibri" w:cs="Calibri" w:eastAsia="Calibri"/>
          <w:color w:val="auto"/>
          <w:spacing w:val="0"/>
          <w:position w:val="0"/>
          <w:sz w:val="22"/>
          <w:shd w:fill="auto" w:val="clear"/>
        </w:rPr>
        <w:t xml:space="preserve">ča svih dobnih skupi</w:t>
      </w:r>
    </w:p>
    <w:p>
      <w:pPr>
        <w:numPr>
          <w:ilvl w:val="0"/>
          <w:numId w:val="13"/>
        </w:numPr>
        <w:tabs>
          <w:tab w:val="left" w:pos="0" w:leader="none"/>
        </w:tabs>
        <w:suppressAutoHyphens w:val="true"/>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Projekti i aktivnosti od zna</w:t>
      </w:r>
      <w:r>
        <w:rPr>
          <w:rFonts w:ascii="Calibri" w:hAnsi="Calibri" w:cs="Calibri" w:eastAsia="Calibri"/>
          <w:color w:val="auto"/>
          <w:spacing w:val="0"/>
          <w:position w:val="0"/>
          <w:sz w:val="22"/>
          <w:shd w:fill="auto" w:val="clear"/>
        </w:rPr>
        <w:t xml:space="preserve">čaja za razvoj turizma u Ozlju</w:t>
      </w:r>
    </w:p>
    <w:p>
      <w:pPr>
        <w:numPr>
          <w:ilvl w:val="0"/>
          <w:numId w:val="13"/>
        </w:numPr>
        <w:tabs>
          <w:tab w:val="left" w:pos="0" w:leader="none"/>
        </w:tabs>
        <w:suppressAutoHyphens w:val="true"/>
        <w:spacing w:before="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Kulturni projekti (koncerti, projekcije, dramske predstave, stand-up nastupi dr.)</w:t>
      </w:r>
    </w:p>
    <w:p>
      <w:pPr>
        <w:numPr>
          <w:ilvl w:val="0"/>
          <w:numId w:val="13"/>
        </w:numPr>
        <w:tabs>
          <w:tab w:val="left" w:pos="0" w:leader="none"/>
        </w:tabs>
        <w:suppressAutoHyphens w:val="true"/>
        <w:spacing w:before="0" w:after="200" w:line="276"/>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Aktivnosti kojima se </w:t>
      </w:r>
      <w:r>
        <w:rPr>
          <w:rFonts w:ascii="Calibri" w:hAnsi="Calibri" w:cs="Calibri" w:eastAsia="Calibri"/>
          <w:color w:val="auto"/>
          <w:spacing w:val="0"/>
          <w:position w:val="0"/>
          <w:sz w:val="22"/>
          <w:shd w:fill="auto" w:val="clear"/>
        </w:rPr>
        <w:t xml:space="preserve">čuva, uređuje i unapređuje prostor Gradskog kupališta</w:t>
      </w:r>
    </w:p>
    <w:p>
      <w:pPr>
        <w:suppressAutoHyphens w:val="true"/>
        <w:spacing w:before="0" w:after="20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Prihvatljive aktivnosti su:</w:t>
      </w:r>
    </w:p>
    <w:p>
      <w:pPr>
        <w:numPr>
          <w:ilvl w:val="0"/>
          <w:numId w:val="18"/>
        </w:numPr>
        <w:tabs>
          <w:tab w:val="left" w:pos="0" w:leader="none"/>
        </w:tabs>
        <w:suppressAutoHyphens w:val="true"/>
        <w:spacing w:before="0" w:after="20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Organiziranje radionica, treninga i animacija na dnevnoj, tjednoj, mjese</w:t>
      </w:r>
      <w:r>
        <w:rPr>
          <w:rFonts w:ascii="Calibri" w:hAnsi="Calibri" w:cs="Calibri" w:eastAsia="Calibri"/>
          <w:color w:val="auto"/>
          <w:spacing w:val="0"/>
          <w:position w:val="0"/>
          <w:sz w:val="22"/>
          <w:shd w:fill="auto" w:val="clear"/>
        </w:rPr>
        <w:t xml:space="preserve">čnoj bazi</w:t>
      </w:r>
    </w:p>
    <w:p>
      <w:pPr>
        <w:numPr>
          <w:ilvl w:val="0"/>
          <w:numId w:val="18"/>
        </w:numPr>
        <w:tabs>
          <w:tab w:val="left" w:pos="0" w:leader="none"/>
        </w:tabs>
        <w:suppressAutoHyphens w:val="true"/>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Organiziranje susreta, rekreativnih turnira, natjecanja, priredbi, koncerata, festivala i drugih manifestacija</w:t>
      </w:r>
    </w:p>
    <w:p>
      <w:pPr>
        <w:numPr>
          <w:ilvl w:val="0"/>
          <w:numId w:val="18"/>
        </w:numPr>
        <w:tabs>
          <w:tab w:val="left" w:pos="0" w:leader="none"/>
        </w:tabs>
        <w:suppressAutoHyphens w:val="true"/>
        <w:spacing w:before="0" w:after="200" w:line="276"/>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Organizacija povremenih ili redovnih kulturnih priredbi </w:t>
      </w:r>
    </w:p>
    <w:p>
      <w:pPr>
        <w:suppressAutoHyphens w:val="true"/>
        <w:spacing w:before="0" w:after="143"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Popis projektnih aktivnosti nije kona</w:t>
      </w:r>
      <w:r>
        <w:rPr>
          <w:rFonts w:ascii="Calibri" w:hAnsi="Calibri" w:cs="Calibri" w:eastAsia="Calibri"/>
          <w:color w:val="auto"/>
          <w:spacing w:val="0"/>
          <w:position w:val="0"/>
          <w:sz w:val="22"/>
          <w:shd w:fill="auto" w:val="clear"/>
        </w:rPr>
        <w:t xml:space="preserve">čan, već samo ilustrativan.</w:t>
      </w:r>
    </w:p>
    <w:p>
      <w:pPr>
        <w:suppressAutoHyphens w:val="true"/>
        <w:spacing w:before="0" w:after="143"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Projektne aktivnosti moraju se provoditi na podru</w:t>
      </w:r>
      <w:r>
        <w:rPr>
          <w:rFonts w:ascii="Calibri" w:hAnsi="Calibri" w:cs="Calibri" w:eastAsia="Calibri"/>
          <w:color w:val="auto"/>
          <w:spacing w:val="0"/>
          <w:position w:val="0"/>
          <w:sz w:val="22"/>
          <w:shd w:fill="auto" w:val="clear"/>
        </w:rPr>
        <w:t xml:space="preserve">čju Gradskog kupališta Slave Raškaj u Ozlju.</w:t>
      </w:r>
    </w:p>
    <w:p>
      <w:pPr>
        <w:keepNext w:val="true"/>
        <w:keepLines w:val="true"/>
        <w:numPr>
          <w:ilvl w:val="0"/>
          <w:numId w:val="21"/>
        </w:numPr>
        <w:tabs>
          <w:tab w:val="left" w:pos="0" w:leader="none"/>
        </w:tabs>
        <w:suppressAutoHyphens w:val="true"/>
        <w:spacing w:before="240" w:after="240" w:line="276"/>
        <w:ind w:right="0" w:left="576" w:hanging="576"/>
        <w:jc w:val="both"/>
        <w:rPr>
          <w:rFonts w:ascii="Calibri" w:hAnsi="Calibri" w:cs="Calibri" w:eastAsia="Calibri"/>
          <w:b/>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Planirani iznosi i ukupna vrijednost Natje</w:t>
      </w:r>
      <w:r>
        <w:rPr>
          <w:rFonts w:ascii="Calibri" w:hAnsi="Calibri" w:cs="Calibri" w:eastAsia="Calibri"/>
          <w:b/>
          <w:color w:val="4F81BD"/>
          <w:spacing w:val="0"/>
          <w:position w:val="0"/>
          <w:sz w:val="22"/>
          <w:shd w:fill="auto" w:val="clear"/>
        </w:rPr>
        <w:t xml:space="preserve">čaja</w:t>
      </w:r>
    </w:p>
    <w:p>
      <w:pPr>
        <w:numPr>
          <w:ilvl w:val="0"/>
          <w:numId w:val="21"/>
        </w:numPr>
        <w:tabs>
          <w:tab w:val="left" w:pos="0" w:leader="none"/>
        </w:tabs>
        <w:suppressAutoHyphens w:val="true"/>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 financiranje Programa aktivnosti planiran je iznos od 4.000,00 EUR.</w:t>
      </w:r>
    </w:p>
    <w:p>
      <w:pPr>
        <w:numPr>
          <w:ilvl w:val="0"/>
          <w:numId w:val="21"/>
        </w:numPr>
        <w:tabs>
          <w:tab w:val="left" w:pos="0" w:leader="none"/>
        </w:tabs>
        <w:suppressAutoHyphens w:val="true"/>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Najmanji iznos tra</w:t>
      </w:r>
      <w:r>
        <w:rPr>
          <w:rFonts w:ascii="Calibri" w:hAnsi="Calibri" w:cs="Calibri" w:eastAsia="Calibri"/>
          <w:color w:val="auto"/>
          <w:spacing w:val="0"/>
          <w:position w:val="0"/>
          <w:sz w:val="22"/>
          <w:shd w:fill="auto" w:val="clear"/>
        </w:rPr>
        <w:t xml:space="preserve">ženih sredstava za financiranje projekta je 100,00 EUR, a najveći 500,00 EUR.</w:t>
      </w:r>
    </w:p>
    <w:p>
      <w:pPr>
        <w:numPr>
          <w:ilvl w:val="0"/>
          <w:numId w:val="21"/>
        </w:numPr>
        <w:tabs>
          <w:tab w:val="left" w:pos="0" w:leader="none"/>
        </w:tabs>
        <w:suppressAutoHyphens w:val="true"/>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Planira se sklopiti najmanje 5, a najvi</w:t>
      </w:r>
      <w:r>
        <w:rPr>
          <w:rFonts w:ascii="Calibri" w:hAnsi="Calibri" w:cs="Calibri" w:eastAsia="Calibri"/>
          <w:color w:val="auto"/>
          <w:spacing w:val="0"/>
          <w:position w:val="0"/>
          <w:sz w:val="22"/>
          <w:shd w:fill="auto" w:val="clear"/>
        </w:rPr>
        <w:t xml:space="preserve">še 15 ugovora o provedbi projekta.</w:t>
      </w:r>
    </w:p>
    <w:p>
      <w:pPr>
        <w:numPr>
          <w:ilvl w:val="0"/>
          <w:numId w:val="21"/>
        </w:numPr>
        <w:tabs>
          <w:tab w:val="left" w:pos="0" w:leader="none"/>
        </w:tabs>
        <w:suppressAutoHyphens w:val="true"/>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Projekti se prijavljuju s rokom provedbe od 05.06. do 31.08.2024. godine.</w:t>
      </w:r>
    </w:p>
    <w:p>
      <w:pPr>
        <w:numPr>
          <w:ilvl w:val="0"/>
          <w:numId w:val="21"/>
        </w:numPr>
        <w:tabs>
          <w:tab w:val="left" w:pos="0" w:leader="none"/>
        </w:tabs>
        <w:suppressAutoHyphens w:val="true"/>
        <w:spacing w:before="0" w:after="20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 slu</w:t>
      </w:r>
      <w:r>
        <w:rPr>
          <w:rFonts w:ascii="Calibri" w:hAnsi="Calibri" w:cs="Calibri" w:eastAsia="Calibri"/>
          <w:color w:val="auto"/>
          <w:spacing w:val="0"/>
          <w:position w:val="0"/>
          <w:sz w:val="22"/>
          <w:shd w:fill="auto" w:val="clear"/>
        </w:rPr>
        <w:t xml:space="preserve">čaju nekvalitetnih i nezadovoljavajućih prijedloga projekata, TZP Kupa zadržava pravo ne dodijeliti sva raspoloživa sredstva.</w:t>
      </w:r>
    </w:p>
    <w:p>
      <w:pPr>
        <w:keepNext w:val="true"/>
        <w:keepLines w:val="true"/>
        <w:pageBreakBefore w:val="true"/>
        <w:numPr>
          <w:ilvl w:val="0"/>
          <w:numId w:val="21"/>
        </w:numPr>
        <w:tabs>
          <w:tab w:val="left" w:pos="0" w:leader="none"/>
        </w:tabs>
        <w:suppressAutoHyphens w:val="true"/>
        <w:spacing w:before="480" w:after="0" w:line="276"/>
        <w:ind w:right="0" w:left="432" w:hanging="432"/>
        <w:jc w:val="both"/>
        <w:rPr>
          <w:rFonts w:ascii="Calibri" w:hAnsi="Calibri" w:cs="Calibri" w:eastAsia="Calibri"/>
          <w:b/>
          <w:color w:val="365F91"/>
          <w:spacing w:val="0"/>
          <w:position w:val="0"/>
          <w:sz w:val="22"/>
          <w:shd w:fill="auto" w:val="clear"/>
        </w:rPr>
      </w:pPr>
      <w:r>
        <w:rPr>
          <w:rFonts w:ascii="Calibri" w:hAnsi="Calibri" w:cs="Calibri" w:eastAsia="Calibri"/>
          <w:b/>
          <w:color w:val="365F91"/>
          <w:spacing w:val="0"/>
          <w:position w:val="0"/>
          <w:sz w:val="22"/>
          <w:shd w:fill="auto" w:val="clear"/>
        </w:rPr>
        <w:t xml:space="preserve">UVJETI </w:t>
      </w:r>
    </w:p>
    <w:p>
      <w:pPr>
        <w:keepNext w:val="true"/>
        <w:keepLines w:val="true"/>
        <w:numPr>
          <w:ilvl w:val="0"/>
          <w:numId w:val="21"/>
        </w:numPr>
        <w:tabs>
          <w:tab w:val="left" w:pos="0" w:leader="none"/>
        </w:tabs>
        <w:suppressAutoHyphens w:val="true"/>
        <w:spacing w:before="240" w:after="240" w:line="276"/>
        <w:ind w:right="0" w:left="576" w:hanging="576"/>
        <w:jc w:val="both"/>
        <w:rPr>
          <w:rFonts w:ascii="Calibri" w:hAnsi="Calibri" w:cs="Calibri" w:eastAsia="Calibri"/>
          <w:b/>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Prihvatljivi prijavitelji: tko mo</w:t>
      </w:r>
      <w:r>
        <w:rPr>
          <w:rFonts w:ascii="Calibri" w:hAnsi="Calibri" w:cs="Calibri" w:eastAsia="Calibri"/>
          <w:b/>
          <w:color w:val="4F81BD"/>
          <w:spacing w:val="0"/>
          <w:position w:val="0"/>
          <w:sz w:val="22"/>
          <w:shd w:fill="auto" w:val="clear"/>
        </w:rPr>
        <w:t xml:space="preserve">že podnijeti prijavu?</w:t>
      </w: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Pozivamo sve zainteresirane dionike kulturno zabavne ponude da prezentiraju svoje programe putem Iskaza interesa te ostvare mogu</w:t>
      </w:r>
      <w:r>
        <w:rPr>
          <w:rFonts w:ascii="Calibri" w:hAnsi="Calibri" w:cs="Calibri" w:eastAsia="Calibri"/>
          <w:color w:val="auto"/>
          <w:spacing w:val="0"/>
          <w:position w:val="0"/>
          <w:sz w:val="22"/>
          <w:shd w:fill="auto" w:val="clear"/>
        </w:rPr>
        <w:t xml:space="preserve">ćnost sudjelovanja u programu Dnevni boravak na Kupi 2025. Prijaviti se mogu fizičke i pravne osobe (pojedinci umjetnici autori, obrtnici, udruge civilnog društva, trgovačka društva registrirana za objavljenje kulturnih djelatnosti i dr.). </w:t>
      </w:r>
    </w:p>
    <w:p>
      <w:pPr>
        <w:suppressAutoHyphens w:val="true"/>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Prijavitelj mo</w:t>
      </w:r>
      <w:r>
        <w:rPr>
          <w:rFonts w:ascii="Calibri" w:hAnsi="Calibri" w:cs="Calibri" w:eastAsia="Calibri"/>
          <w:b/>
          <w:color w:val="auto"/>
          <w:spacing w:val="0"/>
          <w:position w:val="0"/>
          <w:sz w:val="22"/>
          <w:shd w:fill="auto" w:val="clear"/>
        </w:rPr>
        <w:t xml:space="preserve">že podnijeti najviše 1 (jednu) prijavu, ali se aktivnosti mogu provoditi u više termina.</w:t>
      </w: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Prijavitelj mo</w:t>
      </w:r>
      <w:r>
        <w:rPr>
          <w:rFonts w:ascii="Calibri" w:hAnsi="Calibri" w:cs="Calibri" w:eastAsia="Calibri"/>
          <w:color w:val="auto"/>
          <w:spacing w:val="0"/>
          <w:position w:val="0"/>
          <w:sz w:val="22"/>
          <w:shd w:fill="auto" w:val="clear"/>
        </w:rPr>
        <w:t xml:space="preserve">že istovremeno biti partner u više od jedne prijave.</w:t>
      </w: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Zajedni</w:t>
      </w:r>
      <w:r>
        <w:rPr>
          <w:rFonts w:ascii="Calibri" w:hAnsi="Calibri" w:cs="Calibri" w:eastAsia="Calibri"/>
          <w:color w:val="auto"/>
          <w:spacing w:val="0"/>
          <w:position w:val="0"/>
          <w:sz w:val="22"/>
          <w:shd w:fill="auto" w:val="clear"/>
        </w:rPr>
        <w:t xml:space="preserve">čki projekt više prijavitelja može prijaviti vodeći prijavitelj uz naznaku svih doprinosa prijavljenih udruga i drugih donatora. </w:t>
      </w:r>
    </w:p>
    <w:p>
      <w:pPr>
        <w:keepNext w:val="true"/>
        <w:keepLines w:val="true"/>
        <w:numPr>
          <w:ilvl w:val="0"/>
          <w:numId w:val="26"/>
        </w:numPr>
        <w:tabs>
          <w:tab w:val="left" w:pos="0" w:leader="none"/>
        </w:tabs>
        <w:suppressAutoHyphens w:val="true"/>
        <w:spacing w:before="240" w:after="240" w:line="276"/>
        <w:ind w:right="0" w:left="576" w:hanging="576"/>
        <w:jc w:val="both"/>
        <w:rPr>
          <w:rFonts w:ascii="Calibri" w:hAnsi="Calibri" w:cs="Calibri" w:eastAsia="Calibri"/>
          <w:b/>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Kako se prijaviti?</w:t>
      </w: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Iskaz interesa za sudjelovanjem u Programu aktivnosti otvoren je do 25. svibnja  2025. godine do 23:59 sati.</w:t>
      </w:r>
    </w:p>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Sve prijave poslane izvan roka ne</w:t>
      </w:r>
      <w:r>
        <w:rPr>
          <w:rFonts w:ascii="Calibri" w:hAnsi="Calibri" w:cs="Calibri" w:eastAsia="Calibri"/>
          <w:color w:val="auto"/>
          <w:spacing w:val="0"/>
          <w:position w:val="0"/>
          <w:sz w:val="22"/>
          <w:shd w:fill="auto" w:val="clear"/>
        </w:rPr>
        <w:t xml:space="preserve">će biti uzete u razmatranje.</w:t>
      </w:r>
    </w:p>
    <w:p>
      <w:pPr>
        <w:suppressAutoHyphens w:val="true"/>
        <w:spacing w:before="0" w:after="0" w:line="276"/>
        <w:ind w:right="0" w:left="0" w:firstLine="0"/>
        <w:jc w:val="both"/>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Popunjeni i ovjereni obrazac u PDF formatu potrebno je poslati na email adresu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info@tzp-kupa.hr</w:t>
        </w:r>
      </w:hyperlink>
      <w:r>
        <w:rPr>
          <w:rFonts w:ascii="Calibri" w:hAnsi="Calibri" w:cs="Calibri" w:eastAsia="Calibri"/>
          <w:color w:val="auto"/>
          <w:spacing w:val="0"/>
          <w:position w:val="0"/>
          <w:sz w:val="22"/>
          <w:shd w:fill="auto" w:val="clear"/>
        </w:rPr>
        <w:t xml:space="preserve"> do navedenog roka.</w:t>
      </w: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Obrazac za sudjelovanjem nalazi se na mre</w:t>
      </w:r>
      <w:r>
        <w:rPr>
          <w:rFonts w:ascii="Calibri" w:hAnsi="Calibri" w:cs="Calibri" w:eastAsia="Calibri"/>
          <w:color w:val="auto"/>
          <w:spacing w:val="0"/>
          <w:position w:val="0"/>
          <w:sz w:val="22"/>
          <w:shd w:fill="auto" w:val="clear"/>
        </w:rPr>
        <w:t xml:space="preserve">žnoj stranici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www.tzp-kupa.hr</w:t>
        </w:r>
      </w:hyperlink>
      <w:r>
        <w:rPr>
          <w:rFonts w:ascii="Calibri" w:hAnsi="Calibri" w:cs="Calibri" w:eastAsia="Calibri"/>
          <w:color w:val="auto"/>
          <w:spacing w:val="0"/>
          <w:position w:val="0"/>
          <w:sz w:val="22"/>
          <w:shd w:fill="auto" w:val="clear"/>
        </w:rPr>
        <w:t xml:space="preserve"> i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www.izvanfokusa.hr</w:t>
        </w:r>
      </w:hyperlink>
      <w:r>
        <w:rPr>
          <w:rFonts w:ascii="Calibri" w:hAnsi="Calibri" w:cs="Calibri" w:eastAsia="Calibri"/>
          <w:color w:val="auto"/>
          <w:spacing w:val="0"/>
          <w:position w:val="0"/>
          <w:sz w:val="22"/>
          <w:shd w:fill="auto" w:val="clear"/>
        </w:rPr>
        <w:t xml:space="preserve"> .</w:t>
      </w:r>
    </w:p>
    <w:p>
      <w:pPr>
        <w:suppressAutoHyphens w:val="true"/>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Prijavitelj je du</w:t>
      </w:r>
      <w:r>
        <w:rPr>
          <w:rFonts w:ascii="Calibri" w:hAnsi="Calibri" w:cs="Calibri" w:eastAsia="Calibri"/>
          <w:b/>
          <w:color w:val="auto"/>
          <w:spacing w:val="0"/>
          <w:position w:val="0"/>
          <w:sz w:val="22"/>
          <w:shd w:fill="auto" w:val="clear"/>
        </w:rPr>
        <w:t xml:space="preserve">žan dostaviti prije potpisivanja Ugovora:</w:t>
      </w:r>
    </w:p>
    <w:p>
      <w:pPr>
        <w:numPr>
          <w:ilvl w:val="0"/>
          <w:numId w:val="30"/>
        </w:numPr>
        <w:suppressAutoHyphens w:val="true"/>
        <w:spacing w:before="0" w:after="200" w:line="276"/>
        <w:ind w:right="0" w:left="284" w:hanging="284"/>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dokaz o pla</w:t>
      </w:r>
      <w:r>
        <w:rPr>
          <w:rFonts w:ascii="Calibri" w:hAnsi="Calibri" w:cs="Calibri" w:eastAsia="Calibri"/>
          <w:color w:val="000000"/>
          <w:spacing w:val="0"/>
          <w:position w:val="0"/>
          <w:sz w:val="22"/>
          <w:shd w:fill="auto" w:val="clear"/>
        </w:rPr>
        <w:t xml:space="preserve">ćenim doprinosima, porezima i drugim davanjima prema državnom proračunu odnosno potvrda Ministarstva financija/Porezne uprave o stanju javnog dugovanja za prijavitelja i partnere iz koje je vidljivo da organizacija nema duga, u slučaju da postoji javni dug, on mora biti podmiren prije samog potpisivanja Ugovora. </w:t>
      </w:r>
    </w:p>
    <w:p>
      <w:pPr>
        <w:keepNext w:val="true"/>
        <w:keepLines w:val="true"/>
        <w:tabs>
          <w:tab w:val="left" w:pos="0" w:leader="none"/>
        </w:tabs>
        <w:suppressAutoHyphens w:val="true"/>
        <w:spacing w:before="240" w:after="240" w:line="276"/>
        <w:ind w:right="0" w:left="0" w:firstLine="0"/>
        <w:jc w:val="both"/>
        <w:rPr>
          <w:rFonts w:ascii="Calibri" w:hAnsi="Calibri" w:cs="Calibri" w:eastAsia="Calibri"/>
          <w:b/>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Kome se obratiti ukoliko imate pitanja?</w:t>
      </w:r>
    </w:p>
    <w:p>
      <w:pPr>
        <w:suppressAutoHyphens w:val="true"/>
        <w:spacing w:before="24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Sva pitanja vezana uz Iskaz interesa mogu se postaviti isklju</w:t>
      </w:r>
      <w:r>
        <w:rPr>
          <w:rFonts w:ascii="Calibri" w:hAnsi="Calibri" w:cs="Calibri" w:eastAsia="Calibri"/>
          <w:color w:val="auto"/>
          <w:spacing w:val="0"/>
          <w:position w:val="0"/>
          <w:sz w:val="22"/>
          <w:shd w:fill="auto" w:val="clear"/>
        </w:rPr>
        <w:t xml:space="preserve">čivo elektroničkim putem, slanjem upita na sljedeću e-mail adresu: </w:t>
      </w:r>
      <w:r>
        <w:rPr>
          <w:rFonts w:ascii="Calibri" w:hAnsi="Calibri" w:cs="Calibri" w:eastAsia="Calibri"/>
          <w:color w:val="auto"/>
          <w:spacing w:val="0"/>
          <w:position w:val="0"/>
          <w:sz w:val="22"/>
          <w:u w:val="single"/>
          <w:shd w:fill="auto" w:val="clear"/>
        </w:rPr>
        <w:t xml:space="preserve">info@tzp-kupa.hr</w:t>
      </w:r>
      <w:r>
        <w:rPr>
          <w:rFonts w:ascii="Calibri" w:hAnsi="Calibri" w:cs="Calibri" w:eastAsia="Calibri"/>
          <w:color w:val="auto"/>
          <w:spacing w:val="0"/>
          <w:position w:val="0"/>
          <w:sz w:val="22"/>
          <w:shd w:fill="auto" w:val="clear"/>
        </w:rPr>
        <w:t xml:space="preserve"> , tel. 047/731-196</w:t>
      </w:r>
    </w:p>
    <w:p>
      <w:pPr>
        <w:suppressAutoHyphens w:val="true"/>
        <w:spacing w:before="24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Odgovori na pojedine upite u najkra</w:t>
      </w:r>
      <w:r>
        <w:rPr>
          <w:rFonts w:ascii="Calibri" w:hAnsi="Calibri" w:cs="Calibri" w:eastAsia="Calibri"/>
          <w:color w:val="auto"/>
          <w:spacing w:val="0"/>
          <w:position w:val="0"/>
          <w:sz w:val="22"/>
          <w:shd w:fill="auto" w:val="clear"/>
        </w:rPr>
        <w:t xml:space="preserve">ćem mogućem roku poslat će se izravno na adrese onih koji su pitanja postavili.</w:t>
      </w:r>
    </w:p>
    <w:p>
      <w:pPr>
        <w:suppressAutoHyphens w:val="true"/>
        <w:spacing w:before="24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U svrhu osiguranja ravnopravnosti svih potencijalnih prijavitelja, davatelj sredstava ne mo</w:t>
      </w:r>
      <w:r>
        <w:rPr>
          <w:rFonts w:ascii="Calibri" w:hAnsi="Calibri" w:cs="Calibri" w:eastAsia="Calibri"/>
          <w:b/>
          <w:color w:val="auto"/>
          <w:spacing w:val="0"/>
          <w:position w:val="0"/>
          <w:sz w:val="22"/>
          <w:shd w:fill="auto" w:val="clear"/>
        </w:rPr>
        <w:t xml:space="preserve">že davati prethodna mišljenja o prihvatljivosti prijavitelja, partnera, aktivnosti ili troškova navedenih u prijavi.</w:t>
      </w:r>
    </w:p>
    <w:p>
      <w:pPr>
        <w:keepNext w:val="true"/>
        <w:keepLines w:val="true"/>
        <w:numPr>
          <w:ilvl w:val="0"/>
          <w:numId w:val="34"/>
        </w:numPr>
        <w:tabs>
          <w:tab w:val="left" w:pos="0" w:leader="none"/>
        </w:tabs>
        <w:suppressAutoHyphens w:val="true"/>
        <w:spacing w:before="240" w:after="240" w:line="276"/>
        <w:ind w:right="0" w:left="576" w:hanging="576"/>
        <w:jc w:val="both"/>
        <w:rPr>
          <w:rFonts w:ascii="Calibri" w:hAnsi="Calibri" w:cs="Calibri" w:eastAsia="Calibri"/>
          <w:b/>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Procjena prijava i dono</w:t>
      </w:r>
      <w:r>
        <w:rPr>
          <w:rFonts w:ascii="Calibri" w:hAnsi="Calibri" w:cs="Calibri" w:eastAsia="Calibri"/>
          <w:b/>
          <w:color w:val="4F81BD"/>
          <w:spacing w:val="0"/>
          <w:position w:val="0"/>
          <w:sz w:val="22"/>
          <w:shd w:fill="auto" w:val="clear"/>
        </w:rPr>
        <w:t xml:space="preserve">šenje odluke o dodjeli sredstava</w:t>
      </w: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Sve pristigle i zaprimljene prijave pro</w:t>
      </w:r>
      <w:r>
        <w:rPr>
          <w:rFonts w:ascii="Calibri" w:hAnsi="Calibri" w:cs="Calibri" w:eastAsia="Calibri"/>
          <w:color w:val="auto"/>
          <w:spacing w:val="0"/>
          <w:position w:val="0"/>
          <w:sz w:val="22"/>
          <w:shd w:fill="auto" w:val="clear"/>
        </w:rPr>
        <w:t xml:space="preserve">ći će kroz sljedeću proceduru:</w:t>
      </w:r>
    </w:p>
    <w:p>
      <w:pPr>
        <w:suppressAutoHyphens w:val="true"/>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 PREGLED PRIJAVA U ODNOSU NA FORMALNE UVJETE NATJE</w:t>
      </w:r>
      <w:r>
        <w:rPr>
          <w:rFonts w:ascii="Calibri" w:hAnsi="Calibri" w:cs="Calibri" w:eastAsia="Calibri"/>
          <w:b/>
          <w:color w:val="auto"/>
          <w:spacing w:val="0"/>
          <w:position w:val="0"/>
          <w:sz w:val="22"/>
          <w:shd w:fill="auto" w:val="clear"/>
        </w:rPr>
        <w:t xml:space="preserve">ČAJA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2"/>
          <w:shd w:fill="auto" w:val="clear"/>
        </w:rPr>
        <w:t xml:space="preserve">Po isteku roka za podno</w:t>
      </w:r>
      <w:r>
        <w:rPr>
          <w:rFonts w:ascii="Calibri" w:hAnsi="Calibri" w:cs="Calibri" w:eastAsia="Calibri"/>
          <w:color w:val="auto"/>
          <w:spacing w:val="0"/>
          <w:position w:val="0"/>
          <w:sz w:val="22"/>
          <w:shd w:fill="auto" w:val="clear"/>
        </w:rPr>
        <w:t xml:space="preserve">šenje prijava na natječaj, Povjerenstvo za ocjenjivanje prijava pristupit će postupku ocjene ispunjavanja propisanih (formalnih, administrativnih) uvjeta natječaja.</w:t>
      </w:r>
    </w:p>
    <w:p>
      <w:pPr>
        <w:suppressAutoHyphens w:val="true"/>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Formalni uvjeti Natje</w:t>
      </w:r>
      <w:r>
        <w:rPr>
          <w:rFonts w:ascii="Calibri" w:hAnsi="Calibri" w:cs="Calibri" w:eastAsia="Calibri"/>
          <w:b/>
          <w:color w:val="auto"/>
          <w:spacing w:val="0"/>
          <w:position w:val="0"/>
          <w:sz w:val="22"/>
          <w:shd w:fill="auto" w:val="clear"/>
        </w:rPr>
        <w:t xml:space="preserve">čaja: </w:t>
      </w:r>
    </w:p>
    <w:p>
      <w:pPr>
        <w:numPr>
          <w:ilvl w:val="0"/>
          <w:numId w:val="38"/>
        </w:numPr>
        <w:tabs>
          <w:tab w:val="left" w:pos="0" w:leader="none"/>
        </w:tabs>
        <w:suppressAutoHyphens w:val="true"/>
        <w:spacing w:before="0" w:after="200" w:line="240"/>
        <w:ind w:right="0" w:left="426" w:hanging="42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prijava dostavljena u zadanome roku,</w:t>
      </w:r>
    </w:p>
    <w:p>
      <w:pPr>
        <w:numPr>
          <w:ilvl w:val="0"/>
          <w:numId w:val="38"/>
        </w:numPr>
        <w:tabs>
          <w:tab w:val="left" w:pos="0" w:leader="none"/>
        </w:tabs>
        <w:suppressAutoHyphens w:val="true"/>
        <w:spacing w:before="0" w:after="200" w:line="240"/>
        <w:ind w:right="0" w:left="426" w:hanging="42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zatra</w:t>
      </w:r>
      <w:r>
        <w:rPr>
          <w:rFonts w:ascii="Calibri" w:hAnsi="Calibri" w:cs="Calibri" w:eastAsia="Calibri"/>
          <w:color w:val="auto"/>
          <w:spacing w:val="0"/>
          <w:position w:val="0"/>
          <w:sz w:val="22"/>
          <w:shd w:fill="auto" w:val="clear"/>
        </w:rPr>
        <w:t xml:space="preserve">ženi iznos sredstava unutar financijskih pragova postavljenih u Iskazu interesa,</w:t>
      </w:r>
    </w:p>
    <w:p>
      <w:pPr>
        <w:numPr>
          <w:ilvl w:val="0"/>
          <w:numId w:val="38"/>
        </w:numPr>
        <w:tabs>
          <w:tab w:val="left" w:pos="0" w:leader="none"/>
        </w:tabs>
        <w:suppressAutoHyphens w:val="true"/>
        <w:spacing w:before="0" w:after="200" w:line="240"/>
        <w:ind w:right="0" w:left="426" w:hanging="426"/>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obavezni obrazac ovjeren pe</w:t>
      </w:r>
      <w:r>
        <w:rPr>
          <w:rFonts w:ascii="Calibri" w:hAnsi="Calibri" w:cs="Calibri" w:eastAsia="Calibri"/>
          <w:color w:val="auto"/>
          <w:spacing w:val="0"/>
          <w:position w:val="0"/>
          <w:sz w:val="22"/>
          <w:shd w:fill="auto" w:val="clear"/>
        </w:rPr>
        <w:t xml:space="preserve">čatom i potpisom ovlaštene osobe, dostavljen u digitalnom obliku (PDF).</w:t>
      </w:r>
    </w:p>
    <w:p>
      <w:pPr>
        <w:suppressAutoHyphens w:val="true"/>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Nakon provjere ispunjavanja formalnih uvjeta natje</w:t>
      </w:r>
      <w:r>
        <w:rPr>
          <w:rFonts w:ascii="Calibri" w:hAnsi="Calibri" w:cs="Calibri" w:eastAsia="Calibri"/>
          <w:color w:val="auto"/>
          <w:spacing w:val="0"/>
          <w:position w:val="0"/>
          <w:sz w:val="22"/>
          <w:shd w:fill="auto" w:val="clear"/>
        </w:rPr>
        <w:t xml:space="preserve">čaja Povjerenstvo utvrđuje koje se prijave upućuju u daljnju proceduru, odnosno stručno ocjenjivanje, a koje se odbijaju jer ne ispunjavaju propisane uvjete natječaja.</w:t>
      </w:r>
    </w:p>
    <w:p>
      <w:pPr>
        <w:suppressAutoHyphens w:val="true"/>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Svi prijavitelji </w:t>
      </w:r>
      <w:r>
        <w:rPr>
          <w:rFonts w:ascii="Calibri" w:hAnsi="Calibri" w:cs="Calibri" w:eastAsia="Calibri"/>
          <w:color w:val="auto"/>
          <w:spacing w:val="0"/>
          <w:position w:val="0"/>
          <w:sz w:val="22"/>
          <w:shd w:fill="auto" w:val="clear"/>
        </w:rPr>
        <w:t xml:space="preserve">čije prijave budu odbijene, biti će obaviješteni e-mailom o neispunjenju uvjeta natječaja, u roku od pet radnih dana od dana donošenja odluke.</w:t>
      </w:r>
    </w:p>
    <w:p>
      <w:pPr>
        <w:suppressAutoHyphens w:val="true"/>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 PROCJENA PRIJAVA </w:t>
      </w:r>
    </w:p>
    <w:p>
      <w:pPr>
        <w:suppressAutoHyphens w:val="true"/>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Direktor TZP Kupa ustrojava Povjerenstvo za ocjenjivanje prijava na Natje</w:t>
      </w:r>
      <w:r>
        <w:rPr>
          <w:rFonts w:ascii="Calibri" w:hAnsi="Calibri" w:cs="Calibri" w:eastAsia="Calibri"/>
          <w:color w:val="auto"/>
          <w:spacing w:val="0"/>
          <w:position w:val="0"/>
          <w:sz w:val="22"/>
          <w:shd w:fill="auto" w:val="clear"/>
        </w:rPr>
        <w:t xml:space="preserve">čaj.</w:t>
      </w:r>
      <w:r>
        <w:rPr>
          <w:rFonts w:ascii="Calibri" w:hAnsi="Calibri" w:cs="Calibri" w:eastAsia="Calibri"/>
          <w:color w:val="FF0000"/>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Temeljem provedene procjene kvalitete prijava koje su zadovoljile propisane uvjete Natječaja, Povjerenstvo će sastaviti listu odabranih projekata. </w:t>
      </w:r>
    </w:p>
    <w:p>
      <w:pPr>
        <w:suppressAutoHyphens w:val="true"/>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 DONO</w:t>
      </w:r>
      <w:r>
        <w:rPr>
          <w:rFonts w:ascii="Calibri" w:hAnsi="Calibri" w:cs="Calibri" w:eastAsia="Calibri"/>
          <w:b/>
          <w:color w:val="auto"/>
          <w:spacing w:val="0"/>
          <w:position w:val="0"/>
          <w:sz w:val="22"/>
          <w:shd w:fill="auto" w:val="clear"/>
        </w:rPr>
        <w:t xml:space="preserve">ŠENJE ODLUKE O DODJELI SREDSTAVA I OBAVIJEST O DONESENOJ ODLUCI</w:t>
      </w:r>
    </w:p>
    <w:p>
      <w:pPr>
        <w:suppressAutoHyphens w:val="true"/>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Odluku o odobravanju financijskih sredstava prijaviteljima donosi direktor TZP Kupa, najkasnije 10 dana od dana zavr</w:t>
      </w:r>
      <w:r>
        <w:rPr>
          <w:rFonts w:ascii="Calibri" w:hAnsi="Calibri" w:cs="Calibri" w:eastAsia="Calibri"/>
          <w:color w:val="auto"/>
          <w:spacing w:val="0"/>
          <w:position w:val="0"/>
          <w:sz w:val="22"/>
          <w:shd w:fill="auto" w:val="clear"/>
        </w:rPr>
        <w:t xml:space="preserve">šetka Natječaja.</w:t>
      </w:r>
    </w:p>
    <w:p>
      <w:pPr>
        <w:suppressAutoHyphens w:val="true"/>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Nakon dono</w:t>
      </w:r>
      <w:r>
        <w:rPr>
          <w:rFonts w:ascii="Calibri" w:hAnsi="Calibri" w:cs="Calibri" w:eastAsia="Calibri"/>
          <w:color w:val="auto"/>
          <w:spacing w:val="0"/>
          <w:position w:val="0"/>
          <w:sz w:val="22"/>
          <w:shd w:fill="auto" w:val="clear"/>
        </w:rPr>
        <w:t xml:space="preserve">šenja odluke o projektima kojima su odobrena financijska sredstva, TZP Kupa će objaviti rezultate  Natječaja na službenoj web stranici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www.tzp-kupa.hr</w:t>
        </w:r>
      </w:hyperlink>
      <w:r>
        <w:rPr>
          <w:rFonts w:ascii="Calibri" w:hAnsi="Calibri" w:cs="Calibri" w:eastAsia="Calibri"/>
          <w:color w:val="auto"/>
          <w:spacing w:val="0"/>
          <w:position w:val="0"/>
          <w:sz w:val="22"/>
          <w:shd w:fill="auto" w:val="clear"/>
        </w:rPr>
        <w:t xml:space="preserve"> s podacima o projektima kojima su odobrena sredstva i iznosima odobrenih sredstava financiranja, </w:t>
      </w:r>
      <w:r>
        <w:rPr>
          <w:rFonts w:ascii="Calibri" w:hAnsi="Calibri" w:cs="Calibri" w:eastAsia="Calibri"/>
          <w:color w:val="auto"/>
          <w:spacing w:val="0"/>
          <w:position w:val="0"/>
          <w:sz w:val="22"/>
          <w:shd w:fill="auto" w:val="clear"/>
        </w:rPr>
        <w:t xml:space="preserve">čime se svi prijavitelji smatraju obaviještenima o rezultatima. </w:t>
      </w:r>
    </w:p>
    <w:p>
      <w:pPr>
        <w:suppressAutoHyphens w:val="true"/>
        <w:spacing w:before="0" w:after="20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 SKLAPANJE UGOVORA</w:t>
      </w:r>
    </w:p>
    <w:p>
      <w:pPr>
        <w:suppressAutoHyphens w:val="true"/>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svim prijaviteljima kojima su odobrena financijska sredstva TZP Kupa sklopit </w:t>
      </w:r>
      <w:r>
        <w:rPr>
          <w:rFonts w:ascii="Calibri" w:hAnsi="Calibri" w:cs="Calibri" w:eastAsia="Calibri"/>
          <w:color w:val="auto"/>
          <w:spacing w:val="0"/>
          <w:position w:val="0"/>
          <w:sz w:val="22"/>
          <w:shd w:fill="auto" w:val="clear"/>
        </w:rPr>
        <w:t xml:space="preserve">će ugovor o financiranju projekta najkasnije 10 dana od dana donošenja odluke o financiranju.</w:t>
      </w:r>
    </w:p>
    <w:p>
      <w:pPr>
        <w:suppressAutoHyphens w:val="true"/>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Kako bi se izbjegli dodatni nepotrebni tro</w:t>
      </w:r>
      <w:r>
        <w:rPr>
          <w:rFonts w:ascii="Calibri" w:hAnsi="Calibri" w:cs="Calibri" w:eastAsia="Calibri"/>
          <w:color w:val="auto"/>
          <w:spacing w:val="0"/>
          <w:position w:val="0"/>
          <w:sz w:val="22"/>
          <w:shd w:fill="auto" w:val="clear"/>
        </w:rPr>
        <w:t xml:space="preserve">škovi prilikom prijave na Natječaj, davatelj financijskih sredstava tražit će dodatnu dokumentaciju isključivo od onih prijavitelja koji su, temeljem postupka procjene prijava, ušli na listu odabranih projekata za dodjelu sredstava.Ukoliko prijavitelj ne dostavi traženu dodatnu dokumentaciju u roku od 8 dana, njegova prijava će se odbaciti kao nevažeća.</w:t>
      </w:r>
    </w:p>
    <w:p>
      <w:pPr>
        <w:suppressAutoHyphens w:val="true"/>
        <w:spacing w:before="0" w:after="200" w:line="240"/>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9">
    <w:abstractNumId w:val="48"/>
  </w:num>
  <w:num w:numId="11">
    <w:abstractNumId w:val="42"/>
  </w:num>
  <w:num w:numId="13">
    <w:abstractNumId w:val="36"/>
  </w:num>
  <w:num w:numId="18">
    <w:abstractNumId w:val="30"/>
  </w:num>
  <w:num w:numId="21">
    <w:abstractNumId w:val="24"/>
  </w:num>
  <w:num w:numId="26">
    <w:abstractNumId w:val="18"/>
  </w:num>
  <w:num w:numId="30">
    <w:abstractNumId w:val="12"/>
  </w:num>
  <w:num w:numId="34">
    <w:abstractNumId w:val="6"/>
  </w:num>
  <w:num w:numId="3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www.tzp-kupa.hr/" Id="docRId3" Type="http://schemas.openxmlformats.org/officeDocument/2006/relationships/hyperlink" /><Relationship TargetMode="External" Target="http://www.tzp-kupa.hr/" Id="docRId5" Type="http://schemas.openxmlformats.org/officeDocument/2006/relationships/hyperlink" /><Relationship Target="styles.xml" Id="docRId7" Type="http://schemas.openxmlformats.org/officeDocument/2006/relationships/styles" /><Relationship Target="embeddings/oleObject0.bin" Id="docRId0" Type="http://schemas.openxmlformats.org/officeDocument/2006/relationships/oleObject" /><Relationship TargetMode="External" Target="mailto:info@tzp-kupa.hr" Id="docRId2" Type="http://schemas.openxmlformats.org/officeDocument/2006/relationships/hyperlink" /><Relationship TargetMode="External" Target="http://www.izvanfokusa.hr/" Id="docRId4" Type="http://schemas.openxmlformats.org/officeDocument/2006/relationships/hyperlink" /><Relationship Target="numbering.xml" Id="docRId6" Type="http://schemas.openxmlformats.org/officeDocument/2006/relationships/numbering" /></Relationships>
</file>